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C1922" w14:textId="4444B707" w:rsidR="00DA2287" w:rsidRDefault="00DA2287" w:rsidP="00DA2287">
      <w:pPr>
        <w:tabs>
          <w:tab w:val="left" w:pos="1620"/>
        </w:tabs>
        <w:jc w:val="center"/>
        <w:rPr>
          <w:rFonts w:ascii="Adobe Garamond Pro" w:hAnsi="Adobe Garamond Pro"/>
        </w:rPr>
      </w:pPr>
      <w:r>
        <w:rPr>
          <w:rFonts w:ascii="Adobe Garamond Pro" w:hAnsi="Adobe Garamond Pro"/>
          <w:noProof/>
        </w:rPr>
        <w:drawing>
          <wp:inline distT="0" distB="0" distL="0" distR="0" wp14:anchorId="66963D09" wp14:editId="2741C32F">
            <wp:extent cx="2226185" cy="524763"/>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 high-re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6185" cy="524763"/>
                    </a:xfrm>
                    <a:prstGeom prst="rect">
                      <a:avLst/>
                    </a:prstGeom>
                    <a:noFill/>
                    <a:ln w="9525">
                      <a:noFill/>
                      <a:miter lim="800000"/>
                      <a:headEnd/>
                      <a:tailEnd/>
                    </a:ln>
                  </pic:spPr>
                </pic:pic>
              </a:graphicData>
            </a:graphic>
          </wp:inline>
        </w:drawing>
      </w:r>
    </w:p>
    <w:p w14:paraId="1B2E6D00" w14:textId="77777777" w:rsidR="00DD0C4F" w:rsidRPr="00377BC7" w:rsidRDefault="00DD0C4F" w:rsidP="00DA2287">
      <w:pPr>
        <w:tabs>
          <w:tab w:val="left" w:pos="1620"/>
        </w:tabs>
        <w:jc w:val="center"/>
        <w:rPr>
          <w:rFonts w:ascii="Adobe Garamond Pro" w:hAnsi="Adobe Garamond Pro"/>
        </w:rPr>
      </w:pPr>
    </w:p>
    <w:p w14:paraId="47C5C38E" w14:textId="77777777" w:rsidR="00107AA0" w:rsidRDefault="00107AA0" w:rsidP="00E05FE6">
      <w:pPr>
        <w:jc w:val="center"/>
        <w:rPr>
          <w:b/>
          <w:sz w:val="22"/>
          <w:szCs w:val="22"/>
          <w:u w:val="single"/>
        </w:rPr>
      </w:pPr>
    </w:p>
    <w:p w14:paraId="211CFD4D" w14:textId="62CF5A3D" w:rsidR="006603F9" w:rsidRPr="00E23D53" w:rsidRDefault="006603F9" w:rsidP="00E05FE6">
      <w:pPr>
        <w:jc w:val="center"/>
        <w:rPr>
          <w:b/>
          <w:sz w:val="22"/>
          <w:szCs w:val="22"/>
          <w:u w:val="single"/>
        </w:rPr>
      </w:pPr>
      <w:r w:rsidRPr="00E23D53">
        <w:rPr>
          <w:b/>
          <w:sz w:val="22"/>
          <w:szCs w:val="22"/>
          <w:u w:val="single"/>
        </w:rPr>
        <w:t xml:space="preserve">Grant Money Available to Reimburse up to </w:t>
      </w:r>
      <w:r w:rsidR="00932A9A" w:rsidRPr="00E23D53">
        <w:rPr>
          <w:b/>
          <w:sz w:val="22"/>
          <w:szCs w:val="22"/>
          <w:u w:val="single"/>
        </w:rPr>
        <w:t>50</w:t>
      </w:r>
      <w:r w:rsidRPr="00E23D53">
        <w:rPr>
          <w:b/>
          <w:sz w:val="22"/>
          <w:szCs w:val="22"/>
          <w:u w:val="single"/>
        </w:rPr>
        <w:t xml:space="preserve">% for these approved Live </w:t>
      </w:r>
      <w:r w:rsidR="007E7517" w:rsidRPr="00E23D53">
        <w:rPr>
          <w:b/>
          <w:sz w:val="22"/>
          <w:szCs w:val="22"/>
          <w:u w:val="single"/>
        </w:rPr>
        <w:t>Trainings</w:t>
      </w:r>
      <w:r w:rsidRPr="00E23D53">
        <w:rPr>
          <w:b/>
          <w:sz w:val="22"/>
          <w:szCs w:val="22"/>
          <w:u w:val="single"/>
        </w:rPr>
        <w:t>!</w:t>
      </w:r>
    </w:p>
    <w:p w14:paraId="702E458B" w14:textId="128A2431" w:rsidR="00E05FE6" w:rsidRPr="00E23D53" w:rsidRDefault="007E7517" w:rsidP="006603F9">
      <w:pPr>
        <w:jc w:val="center"/>
        <w:rPr>
          <w:b/>
          <w:sz w:val="22"/>
          <w:szCs w:val="22"/>
        </w:rPr>
      </w:pPr>
      <w:r w:rsidRPr="00E23D53">
        <w:rPr>
          <w:b/>
          <w:sz w:val="22"/>
          <w:szCs w:val="22"/>
        </w:rPr>
        <w:t xml:space="preserve">Manufacturing </w:t>
      </w:r>
      <w:r w:rsidR="00E05FE6" w:rsidRPr="00E23D53">
        <w:rPr>
          <w:b/>
          <w:sz w:val="22"/>
          <w:szCs w:val="22"/>
        </w:rPr>
        <w:t xml:space="preserve">Training Funds for </w:t>
      </w:r>
      <w:r w:rsidR="00CE6B43" w:rsidRPr="00E23D53">
        <w:rPr>
          <w:b/>
          <w:sz w:val="22"/>
          <w:szCs w:val="22"/>
        </w:rPr>
        <w:t>201</w:t>
      </w:r>
      <w:r w:rsidR="00292CB7" w:rsidRPr="00E23D53">
        <w:rPr>
          <w:b/>
          <w:sz w:val="22"/>
          <w:szCs w:val="22"/>
        </w:rPr>
        <w:t>9-2020</w:t>
      </w:r>
    </w:p>
    <w:p w14:paraId="588898BA" w14:textId="77777777" w:rsidR="00371FC5" w:rsidRPr="00E23D53" w:rsidRDefault="00371FC5" w:rsidP="006603F9">
      <w:pPr>
        <w:jc w:val="center"/>
        <w:rPr>
          <w:sz w:val="22"/>
          <w:szCs w:val="22"/>
        </w:rPr>
      </w:pPr>
    </w:p>
    <w:p w14:paraId="3A2EC5C8" w14:textId="05E4D37F" w:rsidR="00E05FE6" w:rsidRPr="00E23D53" w:rsidRDefault="00BC7AB0" w:rsidP="00A61C36">
      <w:pPr>
        <w:rPr>
          <w:sz w:val="22"/>
          <w:szCs w:val="22"/>
        </w:rPr>
      </w:pPr>
      <w:r w:rsidRPr="00E23D53">
        <w:rPr>
          <w:sz w:val="22"/>
          <w:szCs w:val="22"/>
        </w:rPr>
        <w:t xml:space="preserve">The </w:t>
      </w:r>
      <w:r w:rsidR="007E7517" w:rsidRPr="00E23D53">
        <w:rPr>
          <w:sz w:val="22"/>
          <w:szCs w:val="22"/>
        </w:rPr>
        <w:t>Manufacturing Alliance of Chester &amp; Delaware Counties</w:t>
      </w:r>
      <w:r w:rsidRPr="00E23D53">
        <w:rPr>
          <w:sz w:val="22"/>
          <w:szCs w:val="22"/>
        </w:rPr>
        <w:t xml:space="preserve"> can help your organization maintain a competitive workforce with a </w:t>
      </w:r>
      <w:r w:rsidR="00ED0D61">
        <w:rPr>
          <w:sz w:val="22"/>
          <w:szCs w:val="22"/>
        </w:rPr>
        <w:t>G</w:t>
      </w:r>
      <w:r w:rsidRPr="00E23D53">
        <w:rPr>
          <w:sz w:val="22"/>
          <w:szCs w:val="22"/>
        </w:rPr>
        <w:t>rant to offset partial costs of training</w:t>
      </w:r>
      <w:r w:rsidR="00CE6B43" w:rsidRPr="00E23D53">
        <w:rPr>
          <w:sz w:val="22"/>
          <w:szCs w:val="22"/>
        </w:rPr>
        <w:t xml:space="preserve"> (eligible employers/trainees can receive a reimbursement of up to </w:t>
      </w:r>
      <w:r w:rsidR="00932A9A" w:rsidRPr="00E23D53">
        <w:rPr>
          <w:sz w:val="22"/>
          <w:szCs w:val="22"/>
        </w:rPr>
        <w:t>50</w:t>
      </w:r>
      <w:r w:rsidR="00CE6B43" w:rsidRPr="00E23D53">
        <w:rPr>
          <w:sz w:val="22"/>
          <w:szCs w:val="22"/>
        </w:rPr>
        <w:t>% of course costs for each trainee)</w:t>
      </w:r>
      <w:r w:rsidRPr="00E23D53">
        <w:rPr>
          <w:sz w:val="22"/>
          <w:szCs w:val="22"/>
        </w:rPr>
        <w:t>. Funding is provided by the Pennsylvania Department of Labor and Industry and the Chester County W</w:t>
      </w:r>
      <w:r w:rsidR="00CE6B43" w:rsidRPr="00E23D53">
        <w:rPr>
          <w:sz w:val="22"/>
          <w:szCs w:val="22"/>
        </w:rPr>
        <w:t>orkforce Development Board</w:t>
      </w:r>
      <w:r w:rsidR="00A61C36" w:rsidRPr="00E23D53">
        <w:rPr>
          <w:sz w:val="22"/>
          <w:szCs w:val="22"/>
        </w:rPr>
        <w:t xml:space="preserve">. </w:t>
      </w:r>
    </w:p>
    <w:p w14:paraId="2F664CDE" w14:textId="77777777" w:rsidR="00AD72C3" w:rsidRPr="00E23D53" w:rsidRDefault="00AD72C3" w:rsidP="0082120D">
      <w:pPr>
        <w:rPr>
          <w:sz w:val="22"/>
          <w:szCs w:val="22"/>
        </w:rPr>
      </w:pPr>
    </w:p>
    <w:p w14:paraId="029FB7DE" w14:textId="77777777" w:rsidR="0082120D" w:rsidRPr="00E23D53" w:rsidRDefault="0082120D" w:rsidP="0082120D">
      <w:pPr>
        <w:rPr>
          <w:sz w:val="22"/>
          <w:szCs w:val="22"/>
        </w:rPr>
      </w:pPr>
      <w:r w:rsidRPr="00E23D53">
        <w:rPr>
          <w:sz w:val="22"/>
          <w:szCs w:val="22"/>
        </w:rPr>
        <w:t xml:space="preserve">Eligibility </w:t>
      </w:r>
      <w:r w:rsidR="00A61C36" w:rsidRPr="00E23D53">
        <w:rPr>
          <w:sz w:val="22"/>
          <w:szCs w:val="22"/>
        </w:rPr>
        <w:t xml:space="preserve">&amp; Conditions </w:t>
      </w:r>
    </w:p>
    <w:p w14:paraId="445D839C" w14:textId="1F33306D" w:rsidR="0082120D" w:rsidRPr="00E23D53" w:rsidRDefault="0082120D" w:rsidP="0082120D">
      <w:pPr>
        <w:pStyle w:val="ListParagraph"/>
        <w:numPr>
          <w:ilvl w:val="0"/>
          <w:numId w:val="3"/>
        </w:numPr>
        <w:rPr>
          <w:sz w:val="22"/>
          <w:szCs w:val="22"/>
        </w:rPr>
      </w:pPr>
      <w:r w:rsidRPr="00E23D53">
        <w:rPr>
          <w:sz w:val="22"/>
          <w:szCs w:val="22"/>
        </w:rPr>
        <w:t>Trainees must be employed residents of Pennsylvania</w:t>
      </w:r>
      <w:r w:rsidR="003D4DAA" w:rsidRPr="00E23D53">
        <w:rPr>
          <w:sz w:val="22"/>
          <w:szCs w:val="22"/>
        </w:rPr>
        <w:t>.</w:t>
      </w:r>
    </w:p>
    <w:p w14:paraId="528EC7D9" w14:textId="7F8CED21" w:rsidR="0082120D" w:rsidRPr="00E23D53" w:rsidRDefault="0082120D" w:rsidP="0082120D">
      <w:pPr>
        <w:pStyle w:val="ListParagraph"/>
        <w:numPr>
          <w:ilvl w:val="0"/>
          <w:numId w:val="3"/>
        </w:numPr>
        <w:rPr>
          <w:sz w:val="22"/>
          <w:szCs w:val="22"/>
        </w:rPr>
      </w:pPr>
      <w:r w:rsidRPr="00E23D53">
        <w:rPr>
          <w:sz w:val="22"/>
          <w:szCs w:val="22"/>
        </w:rPr>
        <w:t xml:space="preserve">Training must </w:t>
      </w:r>
      <w:r w:rsidR="00E92069" w:rsidRPr="00E23D53">
        <w:rPr>
          <w:sz w:val="22"/>
          <w:szCs w:val="22"/>
        </w:rPr>
        <w:t xml:space="preserve">be </w:t>
      </w:r>
      <w:r w:rsidR="0093413E" w:rsidRPr="00E23D53">
        <w:rPr>
          <w:sz w:val="22"/>
          <w:szCs w:val="22"/>
        </w:rPr>
        <w:t>Live</w:t>
      </w:r>
      <w:r w:rsidR="003D4DAA" w:rsidRPr="00E23D53">
        <w:rPr>
          <w:sz w:val="22"/>
          <w:szCs w:val="22"/>
        </w:rPr>
        <w:t xml:space="preserve"> with tuition cost of at least $500.00</w:t>
      </w:r>
      <w:r w:rsidR="00596139" w:rsidRPr="00E23D53">
        <w:rPr>
          <w:sz w:val="22"/>
          <w:szCs w:val="22"/>
        </w:rPr>
        <w:t xml:space="preserve">, taking place between </w:t>
      </w:r>
      <w:r w:rsidR="009D3A72">
        <w:rPr>
          <w:sz w:val="22"/>
          <w:szCs w:val="22"/>
        </w:rPr>
        <w:t>01</w:t>
      </w:r>
      <w:r w:rsidR="00596139" w:rsidRPr="00E23D53">
        <w:rPr>
          <w:sz w:val="22"/>
          <w:szCs w:val="22"/>
        </w:rPr>
        <w:t>/</w:t>
      </w:r>
      <w:r w:rsidR="009D3A72">
        <w:rPr>
          <w:sz w:val="22"/>
          <w:szCs w:val="22"/>
        </w:rPr>
        <w:t>01</w:t>
      </w:r>
      <w:r w:rsidR="00596139" w:rsidRPr="00E23D53">
        <w:rPr>
          <w:sz w:val="22"/>
          <w:szCs w:val="22"/>
        </w:rPr>
        <w:t xml:space="preserve">/2019 and </w:t>
      </w:r>
      <w:r w:rsidR="009D3A72">
        <w:rPr>
          <w:sz w:val="22"/>
          <w:szCs w:val="22"/>
        </w:rPr>
        <w:t>06/30/2020</w:t>
      </w:r>
      <w:r w:rsidR="003D4DAA" w:rsidRPr="00E23D53">
        <w:rPr>
          <w:sz w:val="22"/>
          <w:szCs w:val="22"/>
        </w:rPr>
        <w:t>.</w:t>
      </w:r>
    </w:p>
    <w:p w14:paraId="44DA1713" w14:textId="40F40AC0" w:rsidR="00E92069" w:rsidRPr="00E23D53" w:rsidRDefault="00E92069" w:rsidP="0082120D">
      <w:pPr>
        <w:pStyle w:val="ListParagraph"/>
        <w:numPr>
          <w:ilvl w:val="0"/>
          <w:numId w:val="3"/>
        </w:numPr>
        <w:rPr>
          <w:sz w:val="22"/>
          <w:szCs w:val="22"/>
        </w:rPr>
      </w:pPr>
      <w:r w:rsidRPr="00E23D53">
        <w:rPr>
          <w:sz w:val="22"/>
          <w:szCs w:val="22"/>
        </w:rPr>
        <w:t>This Grant ends June 30, 20</w:t>
      </w:r>
      <w:r w:rsidR="00932A9A" w:rsidRPr="00E23D53">
        <w:rPr>
          <w:sz w:val="22"/>
          <w:szCs w:val="22"/>
        </w:rPr>
        <w:t>20</w:t>
      </w:r>
      <w:r w:rsidRPr="00E23D53">
        <w:rPr>
          <w:sz w:val="22"/>
          <w:szCs w:val="22"/>
        </w:rPr>
        <w:t>, or when Grant money is spent.</w:t>
      </w:r>
    </w:p>
    <w:p w14:paraId="162C0637" w14:textId="607A1528" w:rsidR="003D4877" w:rsidRPr="00E23D53" w:rsidRDefault="0082120D" w:rsidP="00B15E9B">
      <w:pPr>
        <w:pStyle w:val="ListParagraph"/>
        <w:numPr>
          <w:ilvl w:val="0"/>
          <w:numId w:val="3"/>
        </w:numPr>
        <w:rPr>
          <w:sz w:val="22"/>
          <w:szCs w:val="22"/>
        </w:rPr>
      </w:pPr>
      <w:r w:rsidRPr="00E23D53">
        <w:rPr>
          <w:sz w:val="22"/>
          <w:szCs w:val="22"/>
        </w:rPr>
        <w:t>The following</w:t>
      </w:r>
      <w:bookmarkStart w:id="0" w:name="_GoBack"/>
      <w:bookmarkEnd w:id="0"/>
      <w:r w:rsidR="00AC3BE1" w:rsidRPr="00E23D53">
        <w:rPr>
          <w:sz w:val="22"/>
          <w:szCs w:val="22"/>
        </w:rPr>
        <w:t xml:space="preserve"> </w:t>
      </w:r>
      <w:r w:rsidR="00C276C8" w:rsidRPr="00E23D53">
        <w:rPr>
          <w:sz w:val="22"/>
          <w:szCs w:val="22"/>
        </w:rPr>
        <w:t>Training topics</w:t>
      </w:r>
      <w:r w:rsidRPr="00E23D53">
        <w:rPr>
          <w:sz w:val="22"/>
          <w:szCs w:val="22"/>
        </w:rPr>
        <w:t xml:space="preserve"> are currently eligible for </w:t>
      </w:r>
      <w:r w:rsidR="00FC370A" w:rsidRPr="00E23D53">
        <w:rPr>
          <w:sz w:val="22"/>
          <w:szCs w:val="22"/>
        </w:rPr>
        <w:t xml:space="preserve">partial </w:t>
      </w:r>
      <w:r w:rsidR="008B6EF4" w:rsidRPr="00E23D53">
        <w:rPr>
          <w:sz w:val="22"/>
          <w:szCs w:val="22"/>
        </w:rPr>
        <w:t>reimbursement for the 201</w:t>
      </w:r>
      <w:r w:rsidR="00932A9A" w:rsidRPr="00E23D53">
        <w:rPr>
          <w:sz w:val="22"/>
          <w:szCs w:val="22"/>
        </w:rPr>
        <w:t>9</w:t>
      </w:r>
      <w:r w:rsidR="008B6EF4" w:rsidRPr="00E23D53">
        <w:rPr>
          <w:sz w:val="22"/>
          <w:szCs w:val="22"/>
        </w:rPr>
        <w:t>-20</w:t>
      </w:r>
      <w:r w:rsidR="00932A9A" w:rsidRPr="00E23D53">
        <w:rPr>
          <w:sz w:val="22"/>
          <w:szCs w:val="22"/>
        </w:rPr>
        <w:t>20</w:t>
      </w:r>
      <w:r w:rsidR="008B6EF4" w:rsidRPr="00E23D53">
        <w:rPr>
          <w:sz w:val="22"/>
          <w:szCs w:val="22"/>
        </w:rPr>
        <w:t xml:space="preserve"> program year</w:t>
      </w:r>
      <w:r w:rsidR="003D4877" w:rsidRPr="00E23D53">
        <w:rPr>
          <w:sz w:val="22"/>
          <w:szCs w:val="22"/>
        </w:rPr>
        <w:t>.</w:t>
      </w:r>
    </w:p>
    <w:p w14:paraId="4A95A7F3" w14:textId="48F69FF1" w:rsidR="00DA2287" w:rsidRDefault="003D4877" w:rsidP="00B15E9B">
      <w:pPr>
        <w:pStyle w:val="ListParagraph"/>
        <w:numPr>
          <w:ilvl w:val="0"/>
          <w:numId w:val="3"/>
        </w:numPr>
        <w:rPr>
          <w:sz w:val="22"/>
          <w:szCs w:val="22"/>
        </w:rPr>
      </w:pPr>
      <w:r w:rsidRPr="00E23D53">
        <w:rPr>
          <w:sz w:val="22"/>
          <w:szCs w:val="22"/>
        </w:rPr>
        <w:t>All applications will be review</w:t>
      </w:r>
      <w:r w:rsidR="00C276C8" w:rsidRPr="00E23D53">
        <w:rPr>
          <w:sz w:val="22"/>
          <w:szCs w:val="22"/>
        </w:rPr>
        <w:t>e</w:t>
      </w:r>
      <w:r w:rsidRPr="00E23D53">
        <w:rPr>
          <w:sz w:val="22"/>
          <w:szCs w:val="22"/>
        </w:rPr>
        <w:t>d by the Grant Committee for approval.</w:t>
      </w:r>
      <w:r w:rsidR="0082120D" w:rsidRPr="00E23D53">
        <w:rPr>
          <w:sz w:val="22"/>
          <w:szCs w:val="22"/>
        </w:rPr>
        <w:t xml:space="preserve"> </w:t>
      </w:r>
    </w:p>
    <w:p w14:paraId="3862AC87" w14:textId="3C8197ED" w:rsidR="00935B24" w:rsidRDefault="00935B24" w:rsidP="00935B24">
      <w:pPr>
        <w:pStyle w:val="ListParagraph"/>
        <w:rPr>
          <w:sz w:val="22"/>
          <w:szCs w:val="22"/>
        </w:rPr>
      </w:pPr>
    </w:p>
    <w:p w14:paraId="6A58E021" w14:textId="6E1F60BE" w:rsidR="009951B1" w:rsidRDefault="00935B24" w:rsidP="00820C4C">
      <w:pPr>
        <w:pStyle w:val="ListParagraph"/>
        <w:ind w:left="0"/>
        <w:rPr>
          <w:sz w:val="22"/>
          <w:szCs w:val="22"/>
        </w:rPr>
      </w:pPr>
      <w:r>
        <w:rPr>
          <w:sz w:val="22"/>
          <w:szCs w:val="22"/>
        </w:rPr>
        <w:t xml:space="preserve">Below are the names of some of the Trainings we can subsidize.  Is the course you want to take not listed?  We may be able to get it approved – contact us! </w:t>
      </w:r>
    </w:p>
    <w:p w14:paraId="44CF4C90" w14:textId="77777777" w:rsidR="00820C4C" w:rsidRPr="00E23D53" w:rsidRDefault="00820C4C" w:rsidP="00820C4C">
      <w:pPr>
        <w:pStyle w:val="ListParagraph"/>
        <w:ind w:left="0"/>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tblGrid>
      <w:tr w:rsidR="00820C4C" w14:paraId="189F36B1" w14:textId="77777777" w:rsidTr="00820C4C">
        <w:trPr>
          <w:trHeight w:val="2402"/>
          <w:jc w:val="center"/>
        </w:trPr>
        <w:tc>
          <w:tcPr>
            <w:tcW w:w="5845" w:type="dxa"/>
            <w:vAlign w:val="center"/>
          </w:tcPr>
          <w:p w14:paraId="0B5D64C1" w14:textId="77777777" w:rsidR="00820C4C" w:rsidRPr="00820C4C" w:rsidRDefault="00820C4C" w:rsidP="00ED0D61">
            <w:pPr>
              <w:pStyle w:val="ListParagraph"/>
              <w:numPr>
                <w:ilvl w:val="0"/>
                <w:numId w:val="5"/>
              </w:numPr>
              <w:spacing w:before="120"/>
              <w:ind w:left="418" w:hanging="274"/>
              <w:rPr>
                <w:bCs/>
                <w:sz w:val="22"/>
                <w:szCs w:val="22"/>
              </w:rPr>
            </w:pPr>
            <w:r w:rsidRPr="00820C4C">
              <w:rPr>
                <w:sz w:val="22"/>
                <w:szCs w:val="22"/>
              </w:rPr>
              <w:t xml:space="preserve">Reading and Interpreting Blueprints and Technical Documents </w:t>
            </w:r>
          </w:p>
          <w:p w14:paraId="266651FA" w14:textId="2F026EB2" w:rsidR="00820C4C" w:rsidRPr="00820C4C" w:rsidRDefault="00820C4C" w:rsidP="002006DC">
            <w:pPr>
              <w:pStyle w:val="ListParagraph"/>
              <w:numPr>
                <w:ilvl w:val="0"/>
                <w:numId w:val="5"/>
              </w:numPr>
              <w:ind w:left="418" w:hanging="274"/>
              <w:rPr>
                <w:bCs/>
                <w:sz w:val="22"/>
                <w:szCs w:val="22"/>
              </w:rPr>
            </w:pPr>
            <w:r w:rsidRPr="00820C4C">
              <w:rPr>
                <w:bCs/>
                <w:sz w:val="22"/>
                <w:szCs w:val="22"/>
              </w:rPr>
              <w:t>Industrial Drive Systems</w:t>
            </w:r>
          </w:p>
          <w:p w14:paraId="66F7D1C3" w14:textId="23346BD2" w:rsidR="00820C4C" w:rsidRPr="00820C4C" w:rsidRDefault="00820C4C" w:rsidP="00394819">
            <w:pPr>
              <w:pStyle w:val="ListParagraph"/>
              <w:numPr>
                <w:ilvl w:val="0"/>
                <w:numId w:val="5"/>
              </w:numPr>
              <w:spacing w:before="240"/>
              <w:ind w:left="420" w:hanging="276"/>
              <w:rPr>
                <w:sz w:val="22"/>
                <w:szCs w:val="22"/>
              </w:rPr>
            </w:pPr>
            <w:r w:rsidRPr="00820C4C">
              <w:rPr>
                <w:sz w:val="22"/>
                <w:szCs w:val="22"/>
              </w:rPr>
              <w:t>Mechanical Systems: Troubleshooting and Repair</w:t>
            </w:r>
          </w:p>
          <w:p w14:paraId="35C8636C" w14:textId="77777777" w:rsidR="00820C4C" w:rsidRPr="00820C4C" w:rsidRDefault="00820C4C" w:rsidP="00E23D53">
            <w:pPr>
              <w:pStyle w:val="ListParagraph"/>
              <w:numPr>
                <w:ilvl w:val="0"/>
                <w:numId w:val="5"/>
              </w:numPr>
              <w:spacing w:before="240"/>
              <w:ind w:left="420" w:hanging="276"/>
              <w:rPr>
                <w:sz w:val="22"/>
                <w:szCs w:val="22"/>
              </w:rPr>
            </w:pPr>
            <w:r w:rsidRPr="00820C4C">
              <w:rPr>
                <w:sz w:val="22"/>
                <w:szCs w:val="22"/>
              </w:rPr>
              <w:t>CNC Programming</w:t>
            </w:r>
          </w:p>
          <w:p w14:paraId="43F0B62D" w14:textId="77777777" w:rsidR="00820C4C" w:rsidRPr="00820C4C" w:rsidRDefault="00820C4C" w:rsidP="00E23D53">
            <w:pPr>
              <w:pStyle w:val="ListParagraph"/>
              <w:numPr>
                <w:ilvl w:val="0"/>
                <w:numId w:val="5"/>
              </w:numPr>
              <w:spacing w:before="240"/>
              <w:ind w:left="420" w:hanging="276"/>
              <w:rPr>
                <w:sz w:val="22"/>
                <w:szCs w:val="22"/>
              </w:rPr>
            </w:pPr>
            <w:r w:rsidRPr="00820C4C">
              <w:rPr>
                <w:sz w:val="22"/>
                <w:szCs w:val="22"/>
              </w:rPr>
              <w:t>CNC Operations</w:t>
            </w:r>
          </w:p>
          <w:p w14:paraId="10BCCA1C" w14:textId="77777777" w:rsidR="00820C4C" w:rsidRPr="00820C4C" w:rsidRDefault="00820C4C" w:rsidP="00E23D53">
            <w:pPr>
              <w:pStyle w:val="ListParagraph"/>
              <w:numPr>
                <w:ilvl w:val="0"/>
                <w:numId w:val="5"/>
              </w:numPr>
              <w:spacing w:before="240"/>
              <w:ind w:left="420" w:hanging="276"/>
              <w:rPr>
                <w:sz w:val="22"/>
                <w:szCs w:val="22"/>
              </w:rPr>
            </w:pPr>
            <w:r w:rsidRPr="00820C4C">
              <w:rPr>
                <w:sz w:val="22"/>
                <w:szCs w:val="22"/>
              </w:rPr>
              <w:t>Programmable Logic Controls</w:t>
            </w:r>
          </w:p>
          <w:p w14:paraId="41381CED" w14:textId="77777777" w:rsidR="00820C4C" w:rsidRPr="00820C4C" w:rsidRDefault="00820C4C" w:rsidP="00E23D53">
            <w:pPr>
              <w:pStyle w:val="ListParagraph"/>
              <w:numPr>
                <w:ilvl w:val="0"/>
                <w:numId w:val="5"/>
              </w:numPr>
              <w:spacing w:before="240"/>
              <w:ind w:left="420" w:hanging="276"/>
              <w:rPr>
                <w:sz w:val="22"/>
                <w:szCs w:val="22"/>
              </w:rPr>
            </w:pPr>
            <w:r w:rsidRPr="00820C4C">
              <w:rPr>
                <w:sz w:val="22"/>
                <w:szCs w:val="22"/>
              </w:rPr>
              <w:t>Microsoft Project Management</w:t>
            </w:r>
          </w:p>
          <w:p w14:paraId="18D15E8A" w14:textId="77777777" w:rsidR="00820C4C" w:rsidRPr="00820C4C" w:rsidRDefault="00820C4C" w:rsidP="00E23D53">
            <w:pPr>
              <w:pStyle w:val="ListParagraph"/>
              <w:numPr>
                <w:ilvl w:val="0"/>
                <w:numId w:val="5"/>
              </w:numPr>
              <w:spacing w:before="240"/>
              <w:ind w:left="420" w:hanging="276"/>
              <w:rPr>
                <w:sz w:val="22"/>
                <w:szCs w:val="22"/>
              </w:rPr>
            </w:pPr>
            <w:r w:rsidRPr="00820C4C">
              <w:rPr>
                <w:sz w:val="22"/>
                <w:szCs w:val="22"/>
              </w:rPr>
              <w:t>Industrial Automation and Control</w:t>
            </w:r>
          </w:p>
          <w:p w14:paraId="1EE58974" w14:textId="77777777" w:rsidR="00820C4C" w:rsidRPr="00820C4C" w:rsidRDefault="00820C4C" w:rsidP="00ED0D61">
            <w:pPr>
              <w:pStyle w:val="ListParagraph"/>
              <w:numPr>
                <w:ilvl w:val="0"/>
                <w:numId w:val="5"/>
              </w:numPr>
              <w:ind w:left="418" w:hanging="274"/>
              <w:rPr>
                <w:sz w:val="22"/>
                <w:szCs w:val="22"/>
              </w:rPr>
            </w:pPr>
            <w:r w:rsidRPr="00820C4C">
              <w:rPr>
                <w:sz w:val="22"/>
                <w:szCs w:val="22"/>
              </w:rPr>
              <w:t>Manufacturing Processes</w:t>
            </w:r>
          </w:p>
          <w:p w14:paraId="34CF7486" w14:textId="12FD1779" w:rsidR="00820C4C" w:rsidRPr="00ED0D61" w:rsidRDefault="00820C4C" w:rsidP="00ED0D61">
            <w:pPr>
              <w:pStyle w:val="ListParagraph"/>
              <w:spacing w:before="240"/>
              <w:ind w:left="420"/>
              <w:rPr>
                <w:sz w:val="20"/>
                <w:szCs w:val="20"/>
              </w:rPr>
            </w:pPr>
          </w:p>
        </w:tc>
      </w:tr>
    </w:tbl>
    <w:p w14:paraId="2F01EC02" w14:textId="77777777" w:rsidR="00CE6B43" w:rsidRPr="009951B1" w:rsidRDefault="00CE6B43" w:rsidP="00CE6B43">
      <w:pPr>
        <w:rPr>
          <w:rFonts w:ascii="Adobe Garamond Pro" w:hAnsi="Adobe Garamond Pro"/>
          <w:sz w:val="20"/>
          <w:szCs w:val="20"/>
        </w:rPr>
      </w:pPr>
    </w:p>
    <w:p w14:paraId="77C7DC0B" w14:textId="54412904" w:rsidR="00CE6B43" w:rsidRPr="00ED0D61" w:rsidRDefault="00CE6B43" w:rsidP="00A61C36">
      <w:pPr>
        <w:rPr>
          <w:sz w:val="22"/>
          <w:szCs w:val="22"/>
        </w:rPr>
      </w:pPr>
      <w:r w:rsidRPr="00ED0D61">
        <w:rPr>
          <w:sz w:val="22"/>
          <w:szCs w:val="22"/>
        </w:rPr>
        <w:t>If you or your employees have taken any of the classes listed above and you have not yet applied for grant funds, please contact us</w:t>
      </w:r>
      <w:r w:rsidR="003D4877" w:rsidRPr="00ED0D61">
        <w:rPr>
          <w:sz w:val="22"/>
          <w:szCs w:val="22"/>
        </w:rPr>
        <w:t xml:space="preserve"> to discuss</w:t>
      </w:r>
      <w:r w:rsidRPr="00ED0D61">
        <w:rPr>
          <w:sz w:val="22"/>
          <w:szCs w:val="22"/>
        </w:rPr>
        <w:t xml:space="preserve">.  </w:t>
      </w:r>
    </w:p>
    <w:p w14:paraId="49519199" w14:textId="77777777" w:rsidR="00F705DD" w:rsidRPr="00ED0D61" w:rsidRDefault="00F705DD" w:rsidP="00A61C36">
      <w:pPr>
        <w:rPr>
          <w:sz w:val="22"/>
          <w:szCs w:val="22"/>
        </w:rPr>
      </w:pPr>
    </w:p>
    <w:p w14:paraId="594B814F" w14:textId="4559FE0D" w:rsidR="00DA2287" w:rsidRPr="00ED0D61" w:rsidRDefault="00CE6B43" w:rsidP="00A61C36">
      <w:pPr>
        <w:rPr>
          <w:b/>
          <w:sz w:val="22"/>
          <w:szCs w:val="22"/>
        </w:rPr>
      </w:pPr>
      <w:r w:rsidRPr="00ED0D61">
        <w:rPr>
          <w:b/>
          <w:sz w:val="22"/>
          <w:szCs w:val="22"/>
        </w:rPr>
        <w:t>A</w:t>
      </w:r>
      <w:r w:rsidR="00A61C36" w:rsidRPr="00ED0D61">
        <w:rPr>
          <w:b/>
          <w:sz w:val="22"/>
          <w:szCs w:val="22"/>
        </w:rPr>
        <w:t>s a condition of the funding grant, recipients are</w:t>
      </w:r>
      <w:r w:rsidR="0082120D" w:rsidRPr="00ED0D61">
        <w:rPr>
          <w:b/>
          <w:sz w:val="22"/>
          <w:szCs w:val="22"/>
        </w:rPr>
        <w:t xml:space="preserve"> </w:t>
      </w:r>
      <w:r w:rsidR="00A61C36" w:rsidRPr="00ED0D61">
        <w:rPr>
          <w:b/>
          <w:sz w:val="22"/>
          <w:szCs w:val="22"/>
        </w:rPr>
        <w:t>ask</w:t>
      </w:r>
      <w:r w:rsidR="00E05FE6" w:rsidRPr="00ED0D61">
        <w:rPr>
          <w:b/>
          <w:sz w:val="22"/>
          <w:szCs w:val="22"/>
        </w:rPr>
        <w:t>ed</w:t>
      </w:r>
      <w:r w:rsidR="00A61C36" w:rsidRPr="00ED0D61">
        <w:rPr>
          <w:b/>
          <w:sz w:val="22"/>
          <w:szCs w:val="22"/>
        </w:rPr>
        <w:t xml:space="preserve"> to report a training outcome for each employee, such as a </w:t>
      </w:r>
      <w:r w:rsidR="003D4877" w:rsidRPr="00ED0D61">
        <w:rPr>
          <w:b/>
          <w:sz w:val="22"/>
          <w:szCs w:val="22"/>
        </w:rPr>
        <w:t xml:space="preserve">certification, a wage increase, </w:t>
      </w:r>
      <w:r w:rsidR="00A61C36" w:rsidRPr="00ED0D61">
        <w:rPr>
          <w:b/>
          <w:sz w:val="22"/>
          <w:szCs w:val="22"/>
        </w:rPr>
        <w:t xml:space="preserve">new </w:t>
      </w:r>
      <w:r w:rsidR="003D4877" w:rsidRPr="00ED0D61">
        <w:rPr>
          <w:b/>
          <w:sz w:val="22"/>
          <w:szCs w:val="22"/>
        </w:rPr>
        <w:t xml:space="preserve">job </w:t>
      </w:r>
      <w:r w:rsidR="00A61C36" w:rsidRPr="00ED0D61">
        <w:rPr>
          <w:b/>
          <w:sz w:val="22"/>
          <w:szCs w:val="22"/>
        </w:rPr>
        <w:t>title, or promotion. As required by the Department of Labor and Industry, trainees must provide their social security number</w:t>
      </w:r>
      <w:r w:rsidR="00E05FE6" w:rsidRPr="00ED0D61">
        <w:rPr>
          <w:b/>
          <w:sz w:val="22"/>
          <w:szCs w:val="22"/>
        </w:rPr>
        <w:t xml:space="preserve"> (SSN)</w:t>
      </w:r>
      <w:r w:rsidR="00A61C36" w:rsidRPr="00ED0D61">
        <w:rPr>
          <w:b/>
          <w:sz w:val="22"/>
          <w:szCs w:val="22"/>
        </w:rPr>
        <w:t xml:space="preserve"> and complete a brief training evaluation</w:t>
      </w:r>
      <w:r w:rsidR="00405931" w:rsidRPr="00ED0D61">
        <w:rPr>
          <w:b/>
          <w:sz w:val="22"/>
          <w:szCs w:val="22"/>
        </w:rPr>
        <w:t xml:space="preserve"> following completion of the training</w:t>
      </w:r>
      <w:r w:rsidR="00A61C36" w:rsidRPr="00ED0D61">
        <w:rPr>
          <w:b/>
          <w:sz w:val="22"/>
          <w:szCs w:val="22"/>
        </w:rPr>
        <w:t xml:space="preserve">.  </w:t>
      </w:r>
      <w:r w:rsidR="00E05FE6" w:rsidRPr="00ED0D61">
        <w:rPr>
          <w:b/>
          <w:sz w:val="22"/>
          <w:szCs w:val="22"/>
        </w:rPr>
        <w:t>SSNs are used for state reporting only</w:t>
      </w:r>
      <w:r w:rsidR="009951B1" w:rsidRPr="00ED0D61">
        <w:rPr>
          <w:b/>
          <w:sz w:val="22"/>
          <w:szCs w:val="22"/>
        </w:rPr>
        <w:t xml:space="preserve"> and not retained</w:t>
      </w:r>
      <w:r w:rsidR="00E05FE6" w:rsidRPr="00ED0D61">
        <w:rPr>
          <w:b/>
          <w:sz w:val="22"/>
          <w:szCs w:val="22"/>
        </w:rPr>
        <w:t>.</w:t>
      </w:r>
    </w:p>
    <w:p w14:paraId="40AC8EAA" w14:textId="77777777" w:rsidR="00F705DD" w:rsidRPr="00ED0D61" w:rsidRDefault="00F705DD" w:rsidP="00DA2287">
      <w:pPr>
        <w:rPr>
          <w:sz w:val="22"/>
          <w:szCs w:val="22"/>
        </w:rPr>
      </w:pPr>
    </w:p>
    <w:p w14:paraId="05D7AA30" w14:textId="77777777" w:rsidR="00B34B73" w:rsidRPr="00ED0D61" w:rsidRDefault="00A61C36" w:rsidP="00DA2287">
      <w:pPr>
        <w:rPr>
          <w:sz w:val="22"/>
          <w:szCs w:val="22"/>
        </w:rPr>
      </w:pPr>
      <w:r w:rsidRPr="00ED0D61">
        <w:rPr>
          <w:sz w:val="22"/>
          <w:szCs w:val="22"/>
        </w:rPr>
        <w:t>Disallowable c</w:t>
      </w:r>
      <w:r w:rsidR="0082120D" w:rsidRPr="00ED0D61">
        <w:rPr>
          <w:sz w:val="22"/>
          <w:szCs w:val="22"/>
        </w:rPr>
        <w:t>osts</w:t>
      </w:r>
      <w:r w:rsidRPr="00ED0D61">
        <w:rPr>
          <w:sz w:val="22"/>
          <w:szCs w:val="22"/>
        </w:rPr>
        <w:t xml:space="preserve"> </w:t>
      </w:r>
      <w:proofErr w:type="gramStart"/>
      <w:r w:rsidRPr="00ED0D61">
        <w:rPr>
          <w:sz w:val="22"/>
          <w:szCs w:val="22"/>
        </w:rPr>
        <w:t>include:</w:t>
      </w:r>
      <w:proofErr w:type="gramEnd"/>
      <w:r w:rsidRPr="00ED0D61">
        <w:rPr>
          <w:sz w:val="22"/>
          <w:szCs w:val="22"/>
        </w:rPr>
        <w:t xml:space="preserve"> c</w:t>
      </w:r>
      <w:r w:rsidR="0082120D" w:rsidRPr="00ED0D61">
        <w:rPr>
          <w:sz w:val="22"/>
          <w:szCs w:val="22"/>
        </w:rPr>
        <w:t>onferences</w:t>
      </w:r>
      <w:r w:rsidRPr="00ED0D61">
        <w:rPr>
          <w:sz w:val="22"/>
          <w:szCs w:val="22"/>
        </w:rPr>
        <w:t xml:space="preserve">; </w:t>
      </w:r>
      <w:r w:rsidR="009C2F9C" w:rsidRPr="00ED0D61">
        <w:rPr>
          <w:sz w:val="22"/>
          <w:szCs w:val="22"/>
        </w:rPr>
        <w:t xml:space="preserve">non-certification or credential seminars, </w:t>
      </w:r>
      <w:r w:rsidRPr="00ED0D61">
        <w:rPr>
          <w:sz w:val="22"/>
          <w:szCs w:val="22"/>
        </w:rPr>
        <w:t>t</w:t>
      </w:r>
      <w:r w:rsidR="0082120D" w:rsidRPr="00ED0D61">
        <w:rPr>
          <w:sz w:val="22"/>
          <w:szCs w:val="22"/>
        </w:rPr>
        <w:t>ravel or other expenses</w:t>
      </w:r>
      <w:r w:rsidRPr="00ED0D61">
        <w:rPr>
          <w:sz w:val="22"/>
          <w:szCs w:val="22"/>
        </w:rPr>
        <w:t>; and l</w:t>
      </w:r>
      <w:r w:rsidR="0082120D" w:rsidRPr="00ED0D61">
        <w:rPr>
          <w:sz w:val="22"/>
          <w:szCs w:val="22"/>
        </w:rPr>
        <w:t>ost wages or salary reimbursement</w:t>
      </w:r>
      <w:r w:rsidRPr="00ED0D61">
        <w:rPr>
          <w:sz w:val="22"/>
          <w:szCs w:val="22"/>
        </w:rPr>
        <w:t>.</w:t>
      </w:r>
      <w:r w:rsidR="0082120D" w:rsidRPr="00ED0D61">
        <w:rPr>
          <w:sz w:val="22"/>
          <w:szCs w:val="22"/>
        </w:rPr>
        <w:t xml:space="preserve"> </w:t>
      </w:r>
    </w:p>
    <w:p w14:paraId="4C1F967E" w14:textId="396992FE" w:rsidR="000865DD" w:rsidRPr="00ED0D61" w:rsidRDefault="00A61C36" w:rsidP="000865DD">
      <w:pPr>
        <w:spacing w:before="120"/>
        <w:rPr>
          <w:sz w:val="22"/>
          <w:szCs w:val="22"/>
        </w:rPr>
      </w:pPr>
      <w:r w:rsidRPr="00ED0D61">
        <w:rPr>
          <w:sz w:val="22"/>
          <w:szCs w:val="22"/>
        </w:rPr>
        <w:t xml:space="preserve">Contact </w:t>
      </w:r>
      <w:r w:rsidR="00FC6FA8" w:rsidRPr="00ED0D61">
        <w:rPr>
          <w:sz w:val="22"/>
          <w:szCs w:val="22"/>
        </w:rPr>
        <w:t>Jim Lauckner</w:t>
      </w:r>
      <w:r w:rsidR="00E05FE6" w:rsidRPr="00ED0D61">
        <w:rPr>
          <w:sz w:val="22"/>
          <w:szCs w:val="22"/>
        </w:rPr>
        <w:t xml:space="preserve"> or </w:t>
      </w:r>
      <w:r w:rsidR="00FC6FA8" w:rsidRPr="00ED0D61">
        <w:rPr>
          <w:sz w:val="22"/>
          <w:szCs w:val="22"/>
        </w:rPr>
        <w:t>Sherry Cockerham</w:t>
      </w:r>
      <w:r w:rsidRPr="00ED0D61">
        <w:rPr>
          <w:sz w:val="22"/>
          <w:szCs w:val="22"/>
        </w:rPr>
        <w:t xml:space="preserve"> with questions</w:t>
      </w:r>
      <w:r w:rsidR="00405931" w:rsidRPr="00ED0D61">
        <w:rPr>
          <w:sz w:val="22"/>
          <w:szCs w:val="22"/>
        </w:rPr>
        <w:t xml:space="preserve">, </w:t>
      </w:r>
      <w:r w:rsidR="00E05FE6" w:rsidRPr="00ED0D61">
        <w:rPr>
          <w:sz w:val="22"/>
          <w:szCs w:val="22"/>
        </w:rPr>
        <w:t xml:space="preserve">request for </w:t>
      </w:r>
      <w:r w:rsidR="00405931" w:rsidRPr="00ED0D61">
        <w:rPr>
          <w:sz w:val="22"/>
          <w:szCs w:val="22"/>
        </w:rPr>
        <w:t>more information,</w:t>
      </w:r>
      <w:r w:rsidRPr="00ED0D61">
        <w:rPr>
          <w:sz w:val="22"/>
          <w:szCs w:val="22"/>
        </w:rPr>
        <w:t xml:space="preserve"> or to receive timely notifications of SEI-approved training in the region.</w:t>
      </w:r>
    </w:p>
    <w:p w14:paraId="5CAF122F" w14:textId="0BF38FC0" w:rsidR="00711660" w:rsidRPr="00ED0D61" w:rsidRDefault="00FC6FA8" w:rsidP="000865DD">
      <w:pPr>
        <w:spacing w:before="120"/>
        <w:rPr>
          <w:sz w:val="22"/>
          <w:szCs w:val="22"/>
        </w:rPr>
      </w:pPr>
      <w:r w:rsidRPr="00ED0D61">
        <w:rPr>
          <w:sz w:val="22"/>
          <w:szCs w:val="22"/>
        </w:rPr>
        <w:t>Jim Lauckner</w:t>
      </w:r>
      <w:r w:rsidR="00711660" w:rsidRPr="00ED0D61">
        <w:rPr>
          <w:sz w:val="22"/>
          <w:szCs w:val="22"/>
        </w:rPr>
        <w:t>, Sr. Project Consultant</w:t>
      </w:r>
      <w:r w:rsidR="00E05FE6" w:rsidRPr="00ED0D61">
        <w:rPr>
          <w:sz w:val="22"/>
          <w:szCs w:val="22"/>
        </w:rPr>
        <w:tab/>
      </w:r>
      <w:r w:rsidR="00E05FE6" w:rsidRPr="00ED0D61">
        <w:rPr>
          <w:sz w:val="22"/>
          <w:szCs w:val="22"/>
        </w:rPr>
        <w:tab/>
      </w:r>
      <w:r w:rsidR="00E05FE6" w:rsidRPr="00ED0D61">
        <w:rPr>
          <w:sz w:val="22"/>
          <w:szCs w:val="22"/>
        </w:rPr>
        <w:tab/>
      </w:r>
      <w:r w:rsidR="00E05FE6" w:rsidRPr="00ED0D61">
        <w:rPr>
          <w:sz w:val="22"/>
          <w:szCs w:val="22"/>
        </w:rPr>
        <w:tab/>
      </w:r>
      <w:r w:rsidR="00E05FE6" w:rsidRPr="00ED0D61">
        <w:rPr>
          <w:sz w:val="22"/>
          <w:szCs w:val="22"/>
        </w:rPr>
        <w:tab/>
      </w:r>
      <w:r w:rsidR="00ED0D61">
        <w:rPr>
          <w:sz w:val="22"/>
          <w:szCs w:val="22"/>
        </w:rPr>
        <w:tab/>
      </w:r>
      <w:r w:rsidRPr="00ED0D61">
        <w:rPr>
          <w:sz w:val="22"/>
          <w:szCs w:val="22"/>
        </w:rPr>
        <w:t>Sherry Cockerham</w:t>
      </w:r>
      <w:r w:rsidR="00711660" w:rsidRPr="00ED0D61">
        <w:rPr>
          <w:sz w:val="22"/>
          <w:szCs w:val="22"/>
        </w:rPr>
        <w:t>, Project Coordinator</w:t>
      </w:r>
    </w:p>
    <w:p w14:paraId="3A568256" w14:textId="19FEC613" w:rsidR="00A61C36" w:rsidRPr="00ED0D61" w:rsidRDefault="009D3A72" w:rsidP="00DA2287">
      <w:pPr>
        <w:rPr>
          <w:sz w:val="22"/>
          <w:szCs w:val="22"/>
        </w:rPr>
      </w:pPr>
      <w:hyperlink r:id="rId9" w:history="1">
        <w:r w:rsidR="00711660" w:rsidRPr="00ED0D61">
          <w:rPr>
            <w:rStyle w:val="Hyperlink"/>
            <w:sz w:val="22"/>
            <w:szCs w:val="22"/>
          </w:rPr>
          <w:t>jlauckner@ccedcpa.com</w:t>
        </w:r>
      </w:hyperlink>
      <w:r w:rsidR="00711660" w:rsidRPr="00ED0D61">
        <w:rPr>
          <w:sz w:val="22"/>
          <w:szCs w:val="22"/>
        </w:rPr>
        <w:t xml:space="preserve">  |  (610) 321-8231</w:t>
      </w:r>
      <w:r w:rsidR="00E05FE6" w:rsidRPr="00ED0D61">
        <w:rPr>
          <w:sz w:val="22"/>
          <w:szCs w:val="22"/>
        </w:rPr>
        <w:tab/>
      </w:r>
      <w:r w:rsidR="00E05FE6" w:rsidRPr="00ED0D61">
        <w:rPr>
          <w:sz w:val="22"/>
          <w:szCs w:val="22"/>
        </w:rPr>
        <w:tab/>
      </w:r>
      <w:r w:rsidR="00E05FE6" w:rsidRPr="00ED0D61">
        <w:rPr>
          <w:sz w:val="22"/>
          <w:szCs w:val="22"/>
        </w:rPr>
        <w:tab/>
      </w:r>
      <w:r w:rsidR="00E05FE6" w:rsidRPr="00ED0D61">
        <w:rPr>
          <w:sz w:val="22"/>
          <w:szCs w:val="22"/>
        </w:rPr>
        <w:tab/>
      </w:r>
      <w:r w:rsidR="00E05FE6" w:rsidRPr="00ED0D61">
        <w:rPr>
          <w:sz w:val="22"/>
          <w:szCs w:val="22"/>
        </w:rPr>
        <w:tab/>
      </w:r>
      <w:hyperlink r:id="rId10" w:history="1">
        <w:r w:rsidR="00711660" w:rsidRPr="00ED0D61">
          <w:rPr>
            <w:rStyle w:val="Hyperlink"/>
            <w:sz w:val="22"/>
            <w:szCs w:val="22"/>
          </w:rPr>
          <w:t>scockerham@ccedcpa.com</w:t>
        </w:r>
      </w:hyperlink>
      <w:r w:rsidR="00711660" w:rsidRPr="00ED0D61">
        <w:rPr>
          <w:sz w:val="22"/>
          <w:szCs w:val="22"/>
        </w:rPr>
        <w:t xml:space="preserve">  |  (610) 321-8213</w:t>
      </w:r>
      <w:r w:rsidR="00711660" w:rsidRPr="00ED0D61">
        <w:rPr>
          <w:sz w:val="22"/>
          <w:szCs w:val="22"/>
        </w:rPr>
        <w:tab/>
      </w:r>
    </w:p>
    <w:sectPr w:rsidR="00A61C36" w:rsidRPr="00ED0D61" w:rsidSect="00DD0C4F">
      <w:footerReference w:type="default" r:id="rId11"/>
      <w:pgSz w:w="12240" w:h="15840" w:code="1"/>
      <w:pgMar w:top="432" w:right="432" w:bottom="432" w:left="432"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88B25" w14:textId="77777777" w:rsidR="002E7B2F" w:rsidRDefault="002E7B2F" w:rsidP="002E7B2F">
      <w:r>
        <w:separator/>
      </w:r>
    </w:p>
  </w:endnote>
  <w:endnote w:type="continuationSeparator" w:id="0">
    <w:p w14:paraId="1CA65DA8" w14:textId="77777777" w:rsidR="002E7B2F" w:rsidRDefault="002E7B2F" w:rsidP="002E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CA23B" w14:textId="5BD8408D" w:rsidR="00107AA0" w:rsidRPr="004149BD" w:rsidRDefault="00107AA0" w:rsidP="00107AA0">
    <w:pPr>
      <w:pStyle w:val="Footer"/>
      <w:rPr>
        <w:szCs w:val="16"/>
      </w:rPr>
    </w:pPr>
    <w:r>
      <w:rPr>
        <w:noProof/>
        <w:szCs w:val="16"/>
        <w:lang w:eastAsia="zh-TW"/>
      </w:rPr>
      <mc:AlternateContent>
        <mc:Choice Requires="wps">
          <w:drawing>
            <wp:anchor distT="0" distB="0" distL="114300" distR="114300" simplePos="0" relativeHeight="251660288" behindDoc="1" locked="0" layoutInCell="1" allowOverlap="1" wp14:anchorId="5511F018" wp14:editId="5FEA9B6B">
              <wp:simplePos x="0" y="0"/>
              <wp:positionH relativeFrom="column">
                <wp:posOffset>373380</wp:posOffset>
              </wp:positionH>
              <wp:positionV relativeFrom="paragraph">
                <wp:posOffset>-32385</wp:posOffset>
              </wp:positionV>
              <wp:extent cx="7071995" cy="175895"/>
              <wp:effectExtent l="0" t="0" r="14605" b="14605"/>
              <wp:wrapTight wrapText="bothSides">
                <wp:wrapPolygon edited="0">
                  <wp:start x="0" y="0"/>
                  <wp:lineTo x="0" y="21054"/>
                  <wp:lineTo x="21586" y="21054"/>
                  <wp:lineTo x="21586" y="0"/>
                  <wp:lineTo x="0"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99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6EDE1" w14:textId="77777777" w:rsidR="00107AA0" w:rsidRPr="00DF5DC6" w:rsidRDefault="00107AA0" w:rsidP="00107AA0">
                          <w:pPr>
                            <w:rPr>
                              <w:sz w:val="10"/>
                              <w:szCs w:val="10"/>
                            </w:rPr>
                          </w:pPr>
                          <w:r w:rsidRPr="00DF5DC6">
                            <w:rPr>
                              <w:sz w:val="10"/>
                              <w:szCs w:val="10"/>
                            </w:rPr>
                            <w:t xml:space="preserve">MACC/DC is an initiative of the CCEDC and Delaware County Community College and is funded in part by the private sector with grant funding from the Pennsylvania Department of Labor and Industry through the Chester County Workforce </w:t>
                          </w:r>
                          <w:r>
                            <w:rPr>
                              <w:sz w:val="10"/>
                              <w:szCs w:val="10"/>
                            </w:rPr>
                            <w:t>Development Board (WDB)</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11F018" id="_x0000_t202" coordsize="21600,21600" o:spt="202" path="m,l,21600r21600,l21600,xe">
              <v:stroke joinstyle="miter"/>
              <v:path gradientshapeok="t" o:connecttype="rect"/>
            </v:shapetype>
            <v:shape id="Text Box 9" o:spid="_x0000_s1026" type="#_x0000_t202" style="position:absolute;margin-left:29.4pt;margin-top:-2.55pt;width:556.85pt;height:1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" filled="f" stroked="f">
              <v:textbox inset="0,0,0,0">
                <w:txbxContent>
                  <w:p w14:paraId="0A36EDE1" w14:textId="77777777" w:rsidR="00107AA0" w:rsidRPr="00DF5DC6" w:rsidRDefault="00107AA0" w:rsidP="00107AA0">
                    <w:pPr>
                      <w:rPr>
                        <w:sz w:val="10"/>
                        <w:szCs w:val="10"/>
                      </w:rPr>
                    </w:pPr>
                    <w:r w:rsidRPr="00DF5DC6">
                      <w:rPr>
                        <w:sz w:val="10"/>
                        <w:szCs w:val="10"/>
                      </w:rPr>
                      <w:t xml:space="preserve">MACC/DC is an initiative of the CCEDC and Delaware County Community College and is funded in part by the private sector with grant funding from the Pennsylvania Department of Labor and Industry through the Chester County Workforce </w:t>
                    </w:r>
                    <w:r>
                      <w:rPr>
                        <w:sz w:val="10"/>
                        <w:szCs w:val="10"/>
                      </w:rPr>
                      <w:t>Development Board (WDB)</w:t>
                    </w:r>
                  </w:p>
                </w:txbxContent>
              </v:textbox>
              <w10:wrap type="tight"/>
            </v:shape>
          </w:pict>
        </mc:Fallback>
      </mc:AlternateContent>
    </w:r>
    <w:r>
      <w:rPr>
        <w:noProof/>
      </w:rPr>
      <w:drawing>
        <wp:anchor distT="0" distB="0" distL="114300" distR="114300" simplePos="0" relativeHeight="251661312" behindDoc="0" locked="0" layoutInCell="1" allowOverlap="1" wp14:anchorId="48AA1AC6" wp14:editId="3ABFB663">
          <wp:simplePos x="0" y="0"/>
          <wp:positionH relativeFrom="column">
            <wp:posOffset>6678930</wp:posOffset>
          </wp:positionH>
          <wp:positionV relativeFrom="paragraph">
            <wp:posOffset>132080</wp:posOffset>
          </wp:positionV>
          <wp:extent cx="495300" cy="429260"/>
          <wp:effectExtent l="0" t="0" r="0" b="8890"/>
          <wp:wrapThrough wrapText="bothSides">
            <wp:wrapPolygon edited="0">
              <wp:start x="2492" y="0"/>
              <wp:lineTo x="0" y="17254"/>
              <wp:lineTo x="1662" y="21089"/>
              <wp:lineTo x="19108" y="21089"/>
              <wp:lineTo x="20769" y="17254"/>
              <wp:lineTo x="18277" y="0"/>
              <wp:lineTo x="2492"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DB_Small.png"/>
                  <pic:cNvPicPr/>
                </pic:nvPicPr>
                <pic:blipFill>
                  <a:blip r:embed="rId1"/>
                  <a:stretch>
                    <a:fillRect/>
                  </a:stretch>
                </pic:blipFill>
                <pic:spPr>
                  <a:xfrm>
                    <a:off x="0" y="0"/>
                    <a:ext cx="495300" cy="42926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szCs w:val="16"/>
      </w:rPr>
      <w:tab/>
    </w:r>
  </w:p>
  <w:p w14:paraId="33B883EE" w14:textId="1216DD33" w:rsidR="00107AA0" w:rsidRDefault="00107AA0" w:rsidP="00107AA0">
    <w:pPr>
      <w:pStyle w:val="Footer"/>
      <w:tabs>
        <w:tab w:val="clear" w:pos="4680"/>
        <w:tab w:val="clear" w:pos="9360"/>
        <w:tab w:val="left" w:pos="6315"/>
      </w:tabs>
    </w:pPr>
    <w:r>
      <w:rPr>
        <w:noProof/>
        <w:szCs w:val="16"/>
      </w:rPr>
      <w:drawing>
        <wp:anchor distT="0" distB="0" distL="114300" distR="114300" simplePos="0" relativeHeight="251659264" behindDoc="1" locked="0" layoutInCell="1" allowOverlap="1" wp14:anchorId="7DEAAFFA" wp14:editId="4E24FA35">
          <wp:simplePos x="0" y="0"/>
          <wp:positionH relativeFrom="column">
            <wp:posOffset>3133725</wp:posOffset>
          </wp:positionH>
          <wp:positionV relativeFrom="paragraph">
            <wp:posOffset>88900</wp:posOffset>
          </wp:positionV>
          <wp:extent cx="956945" cy="352425"/>
          <wp:effectExtent l="0" t="0" r="0" b="9525"/>
          <wp:wrapTight wrapText="bothSides">
            <wp:wrapPolygon edited="0">
              <wp:start x="0" y="0"/>
              <wp:lineTo x="0" y="21016"/>
              <wp:lineTo x="21070" y="21016"/>
              <wp:lineTo x="21070" y="0"/>
              <wp:lineTo x="0" y="0"/>
            </wp:wrapPolygon>
          </wp:wrapTight>
          <wp:docPr id="5" name="Picture 1" descr="Delaware County Community College_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aware County Community College_2Color.jpg"/>
                  <pic:cNvPicPr/>
                </pic:nvPicPr>
                <pic:blipFill>
                  <a:blip r:embed="rId2"/>
                  <a:stretch>
                    <a:fillRect/>
                  </a:stretch>
                </pic:blipFill>
                <pic:spPr>
                  <a:xfrm>
                    <a:off x="0" y="0"/>
                    <a:ext cx="956945" cy="352425"/>
                  </a:xfrm>
                  <a:prstGeom prst="rect">
                    <a:avLst/>
                  </a:prstGeom>
                </pic:spPr>
              </pic:pic>
            </a:graphicData>
          </a:graphic>
        </wp:anchor>
      </w:drawing>
    </w:r>
    <w:r>
      <w:rPr>
        <w:noProof/>
      </w:rPr>
      <w:drawing>
        <wp:inline distT="0" distB="0" distL="0" distR="0" wp14:anchorId="280E01C3" wp14:editId="3C665322">
          <wp:extent cx="975360" cy="384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360" cy="384175"/>
                  </a:xfrm>
                  <a:prstGeom prst="rect">
                    <a:avLst/>
                  </a:prstGeom>
                  <a:noFill/>
                </pic:spPr>
              </pic:pic>
            </a:graphicData>
          </a:graphic>
        </wp:inline>
      </w:drawing>
    </w:r>
    <w:r>
      <w:tab/>
      <w:t xml:space="preserve">  </w:t>
    </w:r>
  </w:p>
  <w:p w14:paraId="17573BB0" w14:textId="77777777" w:rsidR="002E7B2F" w:rsidRDefault="002E7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3DB39" w14:textId="77777777" w:rsidR="002E7B2F" w:rsidRDefault="002E7B2F" w:rsidP="002E7B2F">
      <w:r>
        <w:separator/>
      </w:r>
    </w:p>
  </w:footnote>
  <w:footnote w:type="continuationSeparator" w:id="0">
    <w:p w14:paraId="0C3F3C24" w14:textId="77777777" w:rsidR="002E7B2F" w:rsidRDefault="002E7B2F" w:rsidP="002E7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E2A"/>
    <w:multiLevelType w:val="hybridMultilevel"/>
    <w:tmpl w:val="E26CD154"/>
    <w:lvl w:ilvl="0" w:tplc="7D3E417E">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9166C2"/>
    <w:multiLevelType w:val="hybridMultilevel"/>
    <w:tmpl w:val="65E6A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D3249"/>
    <w:multiLevelType w:val="hybridMultilevel"/>
    <w:tmpl w:val="960C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24C68"/>
    <w:multiLevelType w:val="hybridMultilevel"/>
    <w:tmpl w:val="C7AEF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522A6D"/>
    <w:multiLevelType w:val="hybridMultilevel"/>
    <w:tmpl w:val="EE1E9B6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5F2DA4"/>
    <w:multiLevelType w:val="hybridMultilevel"/>
    <w:tmpl w:val="90F47C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87"/>
    <w:rsid w:val="000865DD"/>
    <w:rsid w:val="000A34FC"/>
    <w:rsid w:val="000E5E76"/>
    <w:rsid w:val="00107AA0"/>
    <w:rsid w:val="001544FE"/>
    <w:rsid w:val="001A0886"/>
    <w:rsid w:val="001E26CF"/>
    <w:rsid w:val="001F4B41"/>
    <w:rsid w:val="002113CD"/>
    <w:rsid w:val="002234F7"/>
    <w:rsid w:val="00230B02"/>
    <w:rsid w:val="002479D4"/>
    <w:rsid w:val="00292CB7"/>
    <w:rsid w:val="002E7B2F"/>
    <w:rsid w:val="00335B8A"/>
    <w:rsid w:val="00371FC5"/>
    <w:rsid w:val="00394819"/>
    <w:rsid w:val="003D4877"/>
    <w:rsid w:val="003D4DAA"/>
    <w:rsid w:val="00405931"/>
    <w:rsid w:val="00414C50"/>
    <w:rsid w:val="00441E26"/>
    <w:rsid w:val="004A4258"/>
    <w:rsid w:val="004B28F7"/>
    <w:rsid w:val="004D799B"/>
    <w:rsid w:val="00596139"/>
    <w:rsid w:val="005A642F"/>
    <w:rsid w:val="005E44EB"/>
    <w:rsid w:val="00614927"/>
    <w:rsid w:val="00616B5F"/>
    <w:rsid w:val="006603F9"/>
    <w:rsid w:val="006839EA"/>
    <w:rsid w:val="00711660"/>
    <w:rsid w:val="00782421"/>
    <w:rsid w:val="0078570E"/>
    <w:rsid w:val="007B1AC6"/>
    <w:rsid w:val="007D5466"/>
    <w:rsid w:val="007E7517"/>
    <w:rsid w:val="00820C4C"/>
    <w:rsid w:val="0082120D"/>
    <w:rsid w:val="008332B8"/>
    <w:rsid w:val="008A0CA4"/>
    <w:rsid w:val="008B6EF4"/>
    <w:rsid w:val="008F240A"/>
    <w:rsid w:val="00924911"/>
    <w:rsid w:val="00932A9A"/>
    <w:rsid w:val="0093413E"/>
    <w:rsid w:val="00935B24"/>
    <w:rsid w:val="009601A8"/>
    <w:rsid w:val="009951B1"/>
    <w:rsid w:val="009C2F9C"/>
    <w:rsid w:val="009D3A72"/>
    <w:rsid w:val="009D560C"/>
    <w:rsid w:val="009F498F"/>
    <w:rsid w:val="009F5ED6"/>
    <w:rsid w:val="00A22ABC"/>
    <w:rsid w:val="00A61C36"/>
    <w:rsid w:val="00A8096E"/>
    <w:rsid w:val="00AB58F4"/>
    <w:rsid w:val="00AC3BE1"/>
    <w:rsid w:val="00AD2527"/>
    <w:rsid w:val="00AD72C3"/>
    <w:rsid w:val="00B15E9B"/>
    <w:rsid w:val="00B34B73"/>
    <w:rsid w:val="00BC7AB0"/>
    <w:rsid w:val="00BF1109"/>
    <w:rsid w:val="00BF1590"/>
    <w:rsid w:val="00C142DB"/>
    <w:rsid w:val="00C276C8"/>
    <w:rsid w:val="00CD7898"/>
    <w:rsid w:val="00CE6B43"/>
    <w:rsid w:val="00D02E01"/>
    <w:rsid w:val="00D36AAD"/>
    <w:rsid w:val="00DA2287"/>
    <w:rsid w:val="00DA3C7E"/>
    <w:rsid w:val="00DB0AF2"/>
    <w:rsid w:val="00DD0C4F"/>
    <w:rsid w:val="00E05FE6"/>
    <w:rsid w:val="00E23D53"/>
    <w:rsid w:val="00E305B3"/>
    <w:rsid w:val="00E433C1"/>
    <w:rsid w:val="00E62004"/>
    <w:rsid w:val="00E92069"/>
    <w:rsid w:val="00ED0D61"/>
    <w:rsid w:val="00EF47D2"/>
    <w:rsid w:val="00F53E16"/>
    <w:rsid w:val="00F705DD"/>
    <w:rsid w:val="00FB4C09"/>
    <w:rsid w:val="00FC370A"/>
    <w:rsid w:val="00FC4014"/>
    <w:rsid w:val="00FC6FA8"/>
    <w:rsid w:val="00FE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036A0E"/>
  <w15:docId w15:val="{416E6F82-BCE5-4EAB-A487-D36A8713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2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287"/>
    <w:rPr>
      <w:rFonts w:ascii="Tahoma" w:hAnsi="Tahoma" w:cs="Tahoma"/>
      <w:sz w:val="16"/>
      <w:szCs w:val="16"/>
    </w:rPr>
  </w:style>
  <w:style w:type="character" w:customStyle="1" w:styleId="BalloonTextChar">
    <w:name w:val="Balloon Text Char"/>
    <w:basedOn w:val="DefaultParagraphFont"/>
    <w:link w:val="BalloonText"/>
    <w:uiPriority w:val="99"/>
    <w:semiHidden/>
    <w:rsid w:val="00DA2287"/>
    <w:rPr>
      <w:rFonts w:ascii="Tahoma" w:eastAsia="Times New Roman" w:hAnsi="Tahoma" w:cs="Tahoma"/>
      <w:sz w:val="16"/>
      <w:szCs w:val="16"/>
    </w:rPr>
  </w:style>
  <w:style w:type="paragraph" w:styleId="ListParagraph">
    <w:name w:val="List Paragraph"/>
    <w:basedOn w:val="Normal"/>
    <w:uiPriority w:val="34"/>
    <w:qFormat/>
    <w:rsid w:val="00DA2287"/>
    <w:pPr>
      <w:ind w:left="720"/>
      <w:contextualSpacing/>
    </w:pPr>
  </w:style>
  <w:style w:type="character" w:styleId="Hyperlink">
    <w:name w:val="Hyperlink"/>
    <w:basedOn w:val="DefaultParagraphFont"/>
    <w:uiPriority w:val="99"/>
    <w:unhideWhenUsed/>
    <w:rsid w:val="00DA2287"/>
    <w:rPr>
      <w:color w:val="0000FF" w:themeColor="hyperlink"/>
      <w:u w:val="single"/>
    </w:rPr>
  </w:style>
  <w:style w:type="paragraph" w:customStyle="1" w:styleId="Default">
    <w:name w:val="Default"/>
    <w:rsid w:val="00CE6B4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95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B2F"/>
    <w:pPr>
      <w:tabs>
        <w:tab w:val="center" w:pos="4680"/>
        <w:tab w:val="right" w:pos="9360"/>
      </w:tabs>
    </w:pPr>
  </w:style>
  <w:style w:type="character" w:customStyle="1" w:styleId="HeaderChar">
    <w:name w:val="Header Char"/>
    <w:basedOn w:val="DefaultParagraphFont"/>
    <w:link w:val="Header"/>
    <w:uiPriority w:val="99"/>
    <w:rsid w:val="002E7B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7B2F"/>
    <w:pPr>
      <w:tabs>
        <w:tab w:val="center" w:pos="4680"/>
        <w:tab w:val="right" w:pos="9360"/>
      </w:tabs>
    </w:pPr>
  </w:style>
  <w:style w:type="character" w:customStyle="1" w:styleId="FooterChar">
    <w:name w:val="Footer Char"/>
    <w:basedOn w:val="DefaultParagraphFont"/>
    <w:link w:val="Footer"/>
    <w:uiPriority w:val="99"/>
    <w:rsid w:val="002E7B2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11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2864">
      <w:bodyDiv w:val="1"/>
      <w:marLeft w:val="0"/>
      <w:marRight w:val="0"/>
      <w:marTop w:val="0"/>
      <w:marBottom w:val="0"/>
      <w:divBdr>
        <w:top w:val="none" w:sz="0" w:space="0" w:color="auto"/>
        <w:left w:val="none" w:sz="0" w:space="0" w:color="auto"/>
        <w:bottom w:val="none" w:sz="0" w:space="0" w:color="auto"/>
        <w:right w:val="none" w:sz="0" w:space="0" w:color="auto"/>
      </w:divBdr>
    </w:div>
    <w:div w:id="726952688">
      <w:bodyDiv w:val="1"/>
      <w:marLeft w:val="0"/>
      <w:marRight w:val="0"/>
      <w:marTop w:val="0"/>
      <w:marBottom w:val="0"/>
      <w:divBdr>
        <w:top w:val="none" w:sz="0" w:space="0" w:color="auto"/>
        <w:left w:val="none" w:sz="0" w:space="0" w:color="auto"/>
        <w:bottom w:val="none" w:sz="0" w:space="0" w:color="auto"/>
        <w:right w:val="none" w:sz="0" w:space="0" w:color="auto"/>
      </w:divBdr>
    </w:div>
    <w:div w:id="1366902365">
      <w:bodyDiv w:val="1"/>
      <w:marLeft w:val="0"/>
      <w:marRight w:val="0"/>
      <w:marTop w:val="0"/>
      <w:marBottom w:val="0"/>
      <w:divBdr>
        <w:top w:val="none" w:sz="0" w:space="0" w:color="auto"/>
        <w:left w:val="none" w:sz="0" w:space="0" w:color="auto"/>
        <w:bottom w:val="none" w:sz="0" w:space="0" w:color="auto"/>
        <w:right w:val="none" w:sz="0" w:space="0" w:color="auto"/>
      </w:divBdr>
    </w:div>
    <w:div w:id="2069264487">
      <w:bodyDiv w:val="1"/>
      <w:marLeft w:val="0"/>
      <w:marRight w:val="0"/>
      <w:marTop w:val="0"/>
      <w:marBottom w:val="0"/>
      <w:divBdr>
        <w:top w:val="none" w:sz="0" w:space="0" w:color="auto"/>
        <w:left w:val="none" w:sz="0" w:space="0" w:color="auto"/>
        <w:bottom w:val="none" w:sz="0" w:space="0" w:color="auto"/>
        <w:right w:val="none" w:sz="0" w:space="0" w:color="auto"/>
      </w:divBdr>
    </w:div>
    <w:div w:id="208183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ockerham@ccedcpa.com" TargetMode="External"/><Relationship Id="rId4" Type="http://schemas.openxmlformats.org/officeDocument/2006/relationships/settings" Target="settings.xml"/><Relationship Id="rId9" Type="http://schemas.openxmlformats.org/officeDocument/2006/relationships/hyperlink" Target="mailto:jlauckner@ccedcpa.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016FA-1208-45B7-8036-26B79FE5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Williams</dc:creator>
  <cp:lastModifiedBy>Sherry Cockerham</cp:lastModifiedBy>
  <cp:revision>3</cp:revision>
  <cp:lastPrinted>2017-01-17T14:58:00Z</cp:lastPrinted>
  <dcterms:created xsi:type="dcterms:W3CDTF">2019-10-23T21:10:00Z</dcterms:created>
  <dcterms:modified xsi:type="dcterms:W3CDTF">2019-11-07T16:23:00Z</dcterms:modified>
</cp:coreProperties>
</file>